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C81" w:rsidRPr="00E14466" w:rsidRDefault="00D10241">
      <w:pPr>
        <w:rPr>
          <w:b/>
          <w:sz w:val="24"/>
          <w:szCs w:val="24"/>
          <w:u w:val="single"/>
          <w:lang w:val="en-US"/>
        </w:rPr>
      </w:pPr>
      <w:r w:rsidRPr="00E14466">
        <w:rPr>
          <w:b/>
          <w:sz w:val="24"/>
          <w:szCs w:val="24"/>
          <w:u w:val="single"/>
          <w:lang w:val="en-US"/>
        </w:rPr>
        <w:t xml:space="preserve">Supplementary </w:t>
      </w:r>
      <w:r w:rsidR="00900C13" w:rsidRPr="00E14466">
        <w:rPr>
          <w:b/>
          <w:sz w:val="24"/>
          <w:szCs w:val="24"/>
          <w:u w:val="single"/>
          <w:lang w:val="en-US"/>
        </w:rPr>
        <w:t>Material</w:t>
      </w:r>
    </w:p>
    <w:p w:rsidR="00F65FC6" w:rsidRDefault="00F65FC6">
      <w:pPr>
        <w:rPr>
          <w:rFonts w:ascii="Arial" w:hAnsi="Arial" w:cs="Arial"/>
          <w:b/>
          <w:sz w:val="28"/>
          <w:szCs w:val="28"/>
          <w:lang w:val="en-US"/>
        </w:rPr>
      </w:pPr>
    </w:p>
    <w:p w:rsidR="00F65FC6" w:rsidRPr="00F65FC6" w:rsidRDefault="00F65FC6" w:rsidP="00F65FC6">
      <w:pPr>
        <w:spacing w:after="0"/>
        <w:rPr>
          <w:rFonts w:ascii="Arial" w:hAnsi="Arial" w:cs="Arial"/>
          <w:b/>
          <w:sz w:val="28"/>
          <w:szCs w:val="28"/>
          <w:lang w:val="en-US"/>
        </w:rPr>
      </w:pPr>
      <w:r w:rsidRPr="00F65FC6">
        <w:rPr>
          <w:rFonts w:ascii="Arial" w:hAnsi="Arial" w:cs="Arial"/>
          <w:b/>
          <w:sz w:val="28"/>
          <w:szCs w:val="28"/>
          <w:lang w:val="en-US"/>
        </w:rPr>
        <w:t>A</w:t>
      </w:r>
    </w:p>
    <w:p w:rsidR="00D10241" w:rsidRDefault="00D10241" w:rsidP="00F65FC6">
      <w:pPr>
        <w:spacing w:after="0"/>
        <w:ind w:hanging="1134"/>
      </w:pPr>
      <w:r w:rsidRPr="00D10241">
        <w:rPr>
          <w:noProof/>
          <w:lang w:eastAsia="es-AR"/>
        </w:rPr>
        <w:drawing>
          <wp:inline distT="0" distB="0" distL="0" distR="0">
            <wp:extent cx="7105313" cy="2286000"/>
            <wp:effectExtent l="0" t="0" r="63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642" cy="2299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0C13" w:rsidRDefault="00A00E2E" w:rsidP="00A00E2E">
      <w:pPr>
        <w:spacing w:after="0"/>
        <w:rPr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B</w:t>
      </w:r>
      <w:r w:rsidR="00F65FC6" w:rsidRPr="00F65FC6">
        <w:rPr>
          <w:noProof/>
          <w:lang w:eastAsia="es-AR"/>
        </w:rPr>
        <w:drawing>
          <wp:inline distT="0" distB="0" distL="0" distR="0">
            <wp:extent cx="5400040" cy="3452495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452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0C13" w:rsidRDefault="00900C13" w:rsidP="00176E70">
      <w:pPr>
        <w:rPr>
          <w:lang w:val="en-US"/>
        </w:rPr>
      </w:pPr>
    </w:p>
    <w:p w:rsidR="00A00E2E" w:rsidRPr="00E14466" w:rsidRDefault="00A00E2E" w:rsidP="003038EB">
      <w:pPr>
        <w:jc w:val="both"/>
        <w:rPr>
          <w:rFonts w:cstheme="minorHAnsi"/>
          <w:sz w:val="24"/>
          <w:szCs w:val="24"/>
          <w:lang w:val="en-US"/>
        </w:rPr>
      </w:pPr>
      <w:r w:rsidRPr="00E14466">
        <w:rPr>
          <w:rFonts w:cstheme="minorHAnsi"/>
          <w:b/>
          <w:sz w:val="24"/>
          <w:szCs w:val="24"/>
          <w:lang w:val="en-US"/>
        </w:rPr>
        <w:t xml:space="preserve">Figure 1:  </w:t>
      </w:r>
      <w:r w:rsidR="00736546" w:rsidRPr="00E14466">
        <w:rPr>
          <w:rFonts w:cstheme="minorHAnsi"/>
          <w:sz w:val="24"/>
          <w:szCs w:val="24"/>
          <w:lang w:val="en-US"/>
        </w:rPr>
        <w:t>Amino acid and secondary structure conservation analysis.</w:t>
      </w:r>
      <w:r w:rsidR="00736546" w:rsidRPr="00E14466">
        <w:rPr>
          <w:rFonts w:cstheme="minorHAnsi"/>
          <w:b/>
          <w:sz w:val="24"/>
          <w:szCs w:val="24"/>
          <w:lang w:val="en-US"/>
        </w:rPr>
        <w:t xml:space="preserve"> A) </w:t>
      </w:r>
      <w:r w:rsidRPr="00E14466">
        <w:rPr>
          <w:rFonts w:cstheme="minorHAnsi"/>
          <w:sz w:val="24"/>
          <w:szCs w:val="24"/>
          <w:lang w:val="en-US"/>
        </w:rPr>
        <w:t>Multiple sequence alignments performed with PRALINE software</w:t>
      </w:r>
      <w:r w:rsidR="003038EB" w:rsidRPr="00E14466">
        <w:rPr>
          <w:rFonts w:cstheme="minorHAnsi"/>
          <w:sz w:val="24"/>
          <w:szCs w:val="24"/>
          <w:vertAlign w:val="superscript"/>
          <w:lang w:val="en-US"/>
        </w:rPr>
        <w:t>1</w:t>
      </w:r>
      <w:r w:rsidRPr="00E14466">
        <w:rPr>
          <w:rFonts w:cstheme="minorHAnsi"/>
          <w:sz w:val="24"/>
          <w:szCs w:val="24"/>
          <w:lang w:val="en-US"/>
        </w:rPr>
        <w:t xml:space="preserve"> for Insulin Receptor sequences from different species. The position of the Leucine 1150 is boxed. For residue conservation, the scoring scheme works from 0 for the least conserved alignment position, up to 10 for the most conserved alignment position. </w:t>
      </w:r>
      <w:r w:rsidR="00736546" w:rsidRPr="00E14466">
        <w:rPr>
          <w:rFonts w:cstheme="minorHAnsi"/>
          <w:sz w:val="24"/>
          <w:szCs w:val="24"/>
          <w:lang w:val="en-US"/>
        </w:rPr>
        <w:t xml:space="preserve">For </w:t>
      </w:r>
      <w:r w:rsidRPr="00E14466">
        <w:rPr>
          <w:rFonts w:cstheme="minorHAnsi"/>
          <w:sz w:val="24"/>
          <w:szCs w:val="24"/>
          <w:lang w:val="en-US"/>
        </w:rPr>
        <w:t>secondary structure</w:t>
      </w:r>
      <w:r w:rsidR="00736546" w:rsidRPr="00E14466">
        <w:rPr>
          <w:rFonts w:cstheme="minorHAnsi"/>
          <w:sz w:val="24"/>
          <w:szCs w:val="24"/>
          <w:lang w:val="en-US"/>
        </w:rPr>
        <w:t xml:space="preserve">, </w:t>
      </w:r>
      <w:r w:rsidRPr="00E14466">
        <w:rPr>
          <w:rFonts w:cstheme="minorHAnsi"/>
          <w:sz w:val="24"/>
          <w:szCs w:val="24"/>
          <w:lang w:val="en-US"/>
        </w:rPr>
        <w:t xml:space="preserve">Helixes (H) are represented by </w:t>
      </w:r>
      <w:r w:rsidR="003038EB" w:rsidRPr="00E14466">
        <w:rPr>
          <w:rFonts w:cstheme="minorHAnsi"/>
          <w:sz w:val="24"/>
          <w:szCs w:val="24"/>
          <w:lang w:val="en-US"/>
        </w:rPr>
        <w:t>color</w:t>
      </w:r>
      <w:r w:rsidRPr="00E14466">
        <w:rPr>
          <w:rFonts w:cstheme="minorHAnsi"/>
          <w:sz w:val="24"/>
          <w:szCs w:val="24"/>
          <w:lang w:val="en-US"/>
        </w:rPr>
        <w:t xml:space="preserve"> red.</w:t>
      </w:r>
      <w:r w:rsidR="00736546" w:rsidRPr="00E14466">
        <w:rPr>
          <w:rFonts w:cstheme="minorHAnsi"/>
          <w:sz w:val="24"/>
          <w:szCs w:val="24"/>
          <w:lang w:val="en-US"/>
        </w:rPr>
        <w:t xml:space="preserve"> </w:t>
      </w:r>
      <w:r w:rsidR="00736546" w:rsidRPr="00E14466">
        <w:rPr>
          <w:rFonts w:cstheme="minorHAnsi"/>
          <w:b/>
          <w:sz w:val="24"/>
          <w:szCs w:val="24"/>
          <w:lang w:val="en-US"/>
        </w:rPr>
        <w:t xml:space="preserve">B) </w:t>
      </w:r>
      <w:bookmarkStart w:id="0" w:name="_Hlk523134267"/>
      <w:r w:rsidR="00284519" w:rsidRPr="00E14466">
        <w:rPr>
          <w:rFonts w:cstheme="minorHAnsi"/>
          <w:sz w:val="24"/>
          <w:szCs w:val="24"/>
          <w:lang w:val="en-US"/>
        </w:rPr>
        <w:t>Predicted s</w:t>
      </w:r>
      <w:r w:rsidR="00736546" w:rsidRPr="00E14466">
        <w:rPr>
          <w:rFonts w:cstheme="minorHAnsi"/>
          <w:color w:val="000000"/>
          <w:sz w:val="24"/>
          <w:szCs w:val="24"/>
          <w:shd w:val="clear" w:color="auto" w:fill="FFFFFF"/>
          <w:lang w:val="en-US"/>
        </w:rPr>
        <w:t xml:space="preserve">econdary structure </w:t>
      </w:r>
      <w:r w:rsidR="00284519" w:rsidRPr="00E14466">
        <w:rPr>
          <w:rFonts w:cstheme="minorHAnsi"/>
          <w:color w:val="000000"/>
          <w:sz w:val="24"/>
          <w:szCs w:val="24"/>
          <w:shd w:val="clear" w:color="auto" w:fill="FFFFFF"/>
          <w:lang w:val="en-US"/>
        </w:rPr>
        <w:t>for mutant Insulin Receptor L1550P according to PSIPRED</w:t>
      </w:r>
      <w:r w:rsidR="003038EB" w:rsidRPr="00E14466">
        <w:rPr>
          <w:rFonts w:cstheme="minorHAnsi"/>
          <w:color w:val="000000"/>
          <w:sz w:val="24"/>
          <w:szCs w:val="24"/>
          <w:shd w:val="clear" w:color="auto" w:fill="FFFFFF"/>
          <w:vertAlign w:val="superscript"/>
          <w:lang w:val="en-US"/>
        </w:rPr>
        <w:t>2</w:t>
      </w:r>
      <w:r w:rsidR="00284519" w:rsidRPr="00E14466">
        <w:rPr>
          <w:rFonts w:cstheme="minorHAnsi"/>
          <w:sz w:val="24"/>
          <w:szCs w:val="24"/>
          <w:lang w:val="en-US"/>
        </w:rPr>
        <w:t>. Introduction of proline in position 1550</w:t>
      </w:r>
      <w:r w:rsidR="00DE0E99" w:rsidRPr="00E14466">
        <w:rPr>
          <w:rFonts w:cstheme="minorHAnsi"/>
          <w:sz w:val="24"/>
          <w:szCs w:val="24"/>
          <w:lang w:val="en-US"/>
        </w:rPr>
        <w:t xml:space="preserve"> is predicted to have</w:t>
      </w:r>
      <w:r w:rsidR="00284519" w:rsidRPr="00E14466">
        <w:rPr>
          <w:rFonts w:cstheme="minorHAnsi"/>
          <w:sz w:val="24"/>
          <w:szCs w:val="24"/>
          <w:lang w:val="en-US"/>
        </w:rPr>
        <w:t xml:space="preserve"> </w:t>
      </w:r>
      <w:r w:rsidR="00DE0E99" w:rsidRPr="00E14466">
        <w:rPr>
          <w:rFonts w:cstheme="minorHAnsi"/>
          <w:sz w:val="24"/>
          <w:szCs w:val="24"/>
          <w:lang w:val="en-US"/>
        </w:rPr>
        <w:t>h</w:t>
      </w:r>
      <w:r w:rsidR="00284519" w:rsidRPr="00E14466">
        <w:rPr>
          <w:rFonts w:cstheme="minorHAnsi"/>
          <w:sz w:val="24"/>
          <w:szCs w:val="24"/>
          <w:lang w:val="en-US"/>
        </w:rPr>
        <w:t>elix-breaking effects</w:t>
      </w:r>
      <w:r w:rsidR="00DE0E99" w:rsidRPr="00E14466">
        <w:rPr>
          <w:rFonts w:cstheme="minorHAnsi"/>
          <w:sz w:val="24"/>
          <w:szCs w:val="24"/>
          <w:lang w:val="en-US"/>
        </w:rPr>
        <w:t xml:space="preserve">.  </w:t>
      </w:r>
      <w:bookmarkEnd w:id="0"/>
    </w:p>
    <w:p w:rsidR="00DE0E99" w:rsidRDefault="00DE0E99" w:rsidP="00DE0E99">
      <w:pPr>
        <w:ind w:hanging="1418"/>
        <w:rPr>
          <w:lang w:val="en-US"/>
        </w:rPr>
      </w:pPr>
    </w:p>
    <w:p w:rsidR="001E0444" w:rsidRDefault="001E0444" w:rsidP="001E0444">
      <w:pPr>
        <w:spacing w:after="0" w:line="240" w:lineRule="auto"/>
        <w:ind w:hanging="1418"/>
        <w:jc w:val="both"/>
        <w:rPr>
          <w:b/>
          <w:sz w:val="24"/>
          <w:szCs w:val="24"/>
          <w:lang w:val="en-US"/>
        </w:rPr>
      </w:pPr>
      <w:r w:rsidRPr="001E0444">
        <w:rPr>
          <w:noProof/>
          <w:lang w:eastAsia="es-AR"/>
        </w:rPr>
        <w:drawing>
          <wp:inline distT="0" distB="0" distL="0" distR="0">
            <wp:extent cx="7543053" cy="3119581"/>
            <wp:effectExtent l="0" t="0" r="1270" b="508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2417" cy="3156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444" w:rsidRDefault="001E0444" w:rsidP="00DD6D8B">
      <w:pPr>
        <w:spacing w:after="0" w:line="240" w:lineRule="auto"/>
        <w:jc w:val="both"/>
        <w:rPr>
          <w:b/>
          <w:sz w:val="24"/>
          <w:szCs w:val="24"/>
          <w:lang w:val="en-US"/>
        </w:rPr>
      </w:pPr>
    </w:p>
    <w:p w:rsidR="004676F6" w:rsidRDefault="00DE0E99" w:rsidP="00DD6D8B">
      <w:pPr>
        <w:spacing w:after="0" w:line="240" w:lineRule="auto"/>
        <w:jc w:val="both"/>
        <w:rPr>
          <w:sz w:val="24"/>
          <w:szCs w:val="24"/>
          <w:lang w:val="en-US"/>
        </w:rPr>
      </w:pPr>
      <w:proofErr w:type="gramStart"/>
      <w:r w:rsidRPr="00E14466">
        <w:rPr>
          <w:b/>
          <w:sz w:val="24"/>
          <w:szCs w:val="24"/>
          <w:lang w:val="en-US"/>
        </w:rPr>
        <w:t>Figure 2:</w:t>
      </w:r>
      <w:r w:rsidR="003038EB" w:rsidRPr="00E14466">
        <w:rPr>
          <w:b/>
          <w:sz w:val="24"/>
          <w:szCs w:val="24"/>
          <w:lang w:val="en-US"/>
        </w:rPr>
        <w:t xml:space="preserve"> </w:t>
      </w:r>
      <w:r w:rsidR="003038EB" w:rsidRPr="00E14466">
        <w:rPr>
          <w:i/>
          <w:sz w:val="24"/>
          <w:szCs w:val="24"/>
          <w:lang w:val="en-US"/>
        </w:rPr>
        <w:t>In silico</w:t>
      </w:r>
      <w:r w:rsidR="003038EB" w:rsidRPr="00E14466">
        <w:rPr>
          <w:sz w:val="24"/>
          <w:szCs w:val="24"/>
          <w:lang w:val="en-US"/>
        </w:rPr>
        <w:t xml:space="preserve"> modeling of INSR p.L1123P variant</w:t>
      </w:r>
      <w:r w:rsidR="00803034" w:rsidRPr="00E14466">
        <w:rPr>
          <w:sz w:val="24"/>
          <w:szCs w:val="24"/>
          <w:lang w:val="en-US"/>
        </w:rPr>
        <w:t xml:space="preserve"> based on the crystal structure of the tyrosine kinase domain</w:t>
      </w:r>
      <w:r w:rsidR="001D6537">
        <w:rPr>
          <w:sz w:val="24"/>
          <w:szCs w:val="24"/>
          <w:lang w:val="en-US"/>
        </w:rPr>
        <w:t xml:space="preserve"> (IRK) </w:t>
      </w:r>
      <w:r w:rsidR="00803034" w:rsidRPr="00E14466">
        <w:rPr>
          <w:sz w:val="24"/>
          <w:szCs w:val="24"/>
          <w:lang w:val="en-US"/>
        </w:rPr>
        <w:t>(PDB 1IRK).</w:t>
      </w:r>
      <w:proofErr w:type="gramEnd"/>
      <w:r w:rsidR="007F1CF6">
        <w:rPr>
          <w:sz w:val="24"/>
          <w:szCs w:val="24"/>
          <w:lang w:val="en-US"/>
        </w:rPr>
        <w:t xml:space="preserve"> Images were created with </w:t>
      </w:r>
      <w:proofErr w:type="spellStart"/>
      <w:r w:rsidR="007F1CF6">
        <w:rPr>
          <w:sz w:val="24"/>
          <w:szCs w:val="24"/>
          <w:lang w:val="en-US"/>
        </w:rPr>
        <w:t>PyMOL</w:t>
      </w:r>
      <w:proofErr w:type="spellEnd"/>
      <w:r w:rsidR="007F1CF6">
        <w:rPr>
          <w:sz w:val="24"/>
          <w:szCs w:val="24"/>
          <w:lang w:val="en-US"/>
        </w:rPr>
        <w:t xml:space="preserve"> software (https://pymol.org).</w:t>
      </w:r>
      <w:r w:rsidR="00803034" w:rsidRPr="00E14466">
        <w:rPr>
          <w:sz w:val="24"/>
          <w:szCs w:val="24"/>
          <w:lang w:val="en-US"/>
        </w:rPr>
        <w:t xml:space="preserve"> </w:t>
      </w:r>
      <w:r w:rsidR="003038EB" w:rsidRPr="00E14466">
        <w:rPr>
          <w:sz w:val="24"/>
          <w:szCs w:val="24"/>
          <w:lang w:val="en-US"/>
        </w:rPr>
        <w:t>Leucine 1</w:t>
      </w:r>
      <w:r w:rsidR="0027467D" w:rsidRPr="00E14466">
        <w:rPr>
          <w:sz w:val="24"/>
          <w:szCs w:val="24"/>
          <w:lang w:val="en-US"/>
        </w:rPr>
        <w:t xml:space="preserve">150 </w:t>
      </w:r>
      <w:r w:rsidR="00803034" w:rsidRPr="00E14466">
        <w:rPr>
          <w:sz w:val="24"/>
          <w:szCs w:val="24"/>
          <w:lang w:val="en-US"/>
        </w:rPr>
        <w:t xml:space="preserve">is </w:t>
      </w:r>
      <w:r w:rsidR="00F35DF0">
        <w:rPr>
          <w:sz w:val="24"/>
          <w:szCs w:val="24"/>
          <w:lang w:val="en-US"/>
        </w:rPr>
        <w:t>name</w:t>
      </w:r>
      <w:r w:rsidR="00803034" w:rsidRPr="00E14466">
        <w:rPr>
          <w:sz w:val="24"/>
          <w:szCs w:val="24"/>
          <w:lang w:val="en-US"/>
        </w:rPr>
        <w:t>d as Leucine 1</w:t>
      </w:r>
      <w:r w:rsidR="0027467D" w:rsidRPr="00E14466">
        <w:rPr>
          <w:sz w:val="24"/>
          <w:szCs w:val="24"/>
          <w:lang w:val="en-US"/>
        </w:rPr>
        <w:t>123</w:t>
      </w:r>
      <w:r w:rsidR="00803034" w:rsidRPr="00E14466">
        <w:rPr>
          <w:sz w:val="24"/>
          <w:szCs w:val="24"/>
          <w:lang w:val="en-US"/>
        </w:rPr>
        <w:t xml:space="preserve"> after the cleavage of the </w:t>
      </w:r>
      <w:r w:rsidR="00803034" w:rsidRPr="00E14466">
        <w:rPr>
          <w:bCs/>
          <w:sz w:val="24"/>
          <w:szCs w:val="24"/>
          <w:lang w:val="en-US"/>
        </w:rPr>
        <w:t>signal peptide</w:t>
      </w:r>
      <w:r w:rsidR="00803034" w:rsidRPr="00E14466">
        <w:rPr>
          <w:sz w:val="24"/>
          <w:szCs w:val="24"/>
          <w:lang w:val="en-US"/>
        </w:rPr>
        <w:t xml:space="preserve">. </w:t>
      </w:r>
      <w:r w:rsidR="00803034" w:rsidRPr="00E14466">
        <w:rPr>
          <w:b/>
          <w:sz w:val="24"/>
          <w:szCs w:val="24"/>
          <w:lang w:val="en-US"/>
        </w:rPr>
        <w:t>A)</w:t>
      </w:r>
      <w:r w:rsidR="00803034" w:rsidRPr="00E14466">
        <w:rPr>
          <w:sz w:val="24"/>
          <w:szCs w:val="24"/>
          <w:lang w:val="en-US"/>
        </w:rPr>
        <w:t xml:space="preserve"> </w:t>
      </w:r>
      <w:r w:rsidR="00E1461F">
        <w:rPr>
          <w:sz w:val="24"/>
          <w:szCs w:val="24"/>
          <w:lang w:val="en-US"/>
        </w:rPr>
        <w:t xml:space="preserve">Cartoon representation of </w:t>
      </w:r>
      <w:r w:rsidR="005D3DF8">
        <w:rPr>
          <w:sz w:val="24"/>
          <w:szCs w:val="24"/>
          <w:lang w:val="en-US"/>
        </w:rPr>
        <w:t xml:space="preserve">IRK </w:t>
      </w:r>
      <w:r w:rsidR="00E1461F">
        <w:rPr>
          <w:sz w:val="24"/>
          <w:szCs w:val="24"/>
          <w:lang w:val="en-US"/>
        </w:rPr>
        <w:t>i</w:t>
      </w:r>
      <w:r w:rsidR="001F4F8E">
        <w:rPr>
          <w:sz w:val="24"/>
          <w:szCs w:val="24"/>
          <w:lang w:val="en-US"/>
        </w:rPr>
        <w:t xml:space="preserve">nactive form showing </w:t>
      </w:r>
      <w:r w:rsidR="00E1461F">
        <w:rPr>
          <w:sz w:val="24"/>
          <w:szCs w:val="24"/>
          <w:lang w:val="en-US"/>
        </w:rPr>
        <w:t xml:space="preserve">position of Leu1123 at the end of </w:t>
      </w:r>
      <w:r w:rsidR="00E1461F" w:rsidRPr="00E1461F">
        <w:rPr>
          <w:rFonts w:ascii="Symbol" w:hAnsi="Symbol"/>
          <w:sz w:val="24"/>
          <w:szCs w:val="24"/>
          <w:lang w:val="en-US"/>
        </w:rPr>
        <w:t></w:t>
      </w:r>
      <w:r w:rsidR="00E1461F">
        <w:rPr>
          <w:sz w:val="24"/>
          <w:szCs w:val="24"/>
          <w:lang w:val="en-US"/>
        </w:rPr>
        <w:t xml:space="preserve">E in the C-domain. The </w:t>
      </w:r>
      <w:proofErr w:type="spellStart"/>
      <w:r w:rsidR="00E1461F">
        <w:rPr>
          <w:sz w:val="24"/>
          <w:szCs w:val="24"/>
          <w:lang w:val="en-US"/>
        </w:rPr>
        <w:t>gly</w:t>
      </w:r>
      <w:proofErr w:type="spellEnd"/>
      <w:r w:rsidR="00E1461F">
        <w:rPr>
          <w:sz w:val="24"/>
          <w:szCs w:val="24"/>
          <w:lang w:val="en-US"/>
        </w:rPr>
        <w:t>-rich domain is shown in yellow, the activation loop in pink, and the catalytic domain in cyan. Arrows represents displacement</w:t>
      </w:r>
      <w:r w:rsidR="00F31D5D">
        <w:rPr>
          <w:sz w:val="24"/>
          <w:szCs w:val="24"/>
          <w:lang w:val="en-US"/>
        </w:rPr>
        <w:t xml:space="preserve"> and ro</w:t>
      </w:r>
      <w:r w:rsidR="00CD11CA">
        <w:rPr>
          <w:sz w:val="24"/>
          <w:szCs w:val="24"/>
          <w:lang w:val="en-US"/>
        </w:rPr>
        <w:t xml:space="preserve">tation </w:t>
      </w:r>
      <w:r w:rsidR="001D6537">
        <w:rPr>
          <w:sz w:val="24"/>
          <w:szCs w:val="24"/>
          <w:lang w:val="en-US"/>
        </w:rPr>
        <w:t xml:space="preserve">required for IRK activation. </w:t>
      </w:r>
      <w:r w:rsidR="00E14466" w:rsidRPr="00E14466">
        <w:rPr>
          <w:b/>
          <w:sz w:val="24"/>
          <w:szCs w:val="24"/>
          <w:lang w:val="en-US"/>
        </w:rPr>
        <w:t>B)</w:t>
      </w:r>
      <w:r w:rsidR="00E14466">
        <w:rPr>
          <w:b/>
          <w:sz w:val="24"/>
          <w:szCs w:val="24"/>
          <w:lang w:val="en-US"/>
        </w:rPr>
        <w:t xml:space="preserve"> </w:t>
      </w:r>
      <w:r w:rsidR="001D6537" w:rsidRPr="001D6537">
        <w:rPr>
          <w:sz w:val="24"/>
          <w:szCs w:val="24"/>
          <w:lang w:val="en-US"/>
        </w:rPr>
        <w:t>Zoom in p</w:t>
      </w:r>
      <w:r w:rsidR="00E14466" w:rsidRPr="001D6537">
        <w:rPr>
          <w:sz w:val="24"/>
          <w:szCs w:val="24"/>
          <w:lang w:val="en-US"/>
        </w:rPr>
        <w:t xml:space="preserve">osition of </w:t>
      </w:r>
      <w:r w:rsidR="001D6537" w:rsidRPr="001D6537">
        <w:rPr>
          <w:sz w:val="24"/>
          <w:szCs w:val="24"/>
          <w:lang w:val="en-US"/>
        </w:rPr>
        <w:t>Leu1123</w:t>
      </w:r>
      <w:r w:rsidR="004676F6">
        <w:rPr>
          <w:sz w:val="24"/>
          <w:szCs w:val="24"/>
          <w:lang w:val="en-US"/>
        </w:rPr>
        <w:t xml:space="preserve"> (left)</w:t>
      </w:r>
      <w:r w:rsidR="001D6537">
        <w:rPr>
          <w:sz w:val="24"/>
          <w:szCs w:val="24"/>
          <w:lang w:val="en-US"/>
        </w:rPr>
        <w:t xml:space="preserve">. </w:t>
      </w:r>
      <w:r w:rsidR="004676F6" w:rsidRPr="004676F6">
        <w:rPr>
          <w:sz w:val="24"/>
          <w:szCs w:val="24"/>
          <w:lang w:val="en-US"/>
        </w:rPr>
        <w:t>The change for proline (right)</w:t>
      </w:r>
      <w:r w:rsidR="007F1CF6">
        <w:rPr>
          <w:sz w:val="24"/>
          <w:szCs w:val="24"/>
          <w:lang w:val="en-US"/>
        </w:rPr>
        <w:t>, using the mutagenesis wizard tool,</w:t>
      </w:r>
      <w:r w:rsidR="004676F6" w:rsidRPr="004676F6">
        <w:rPr>
          <w:sz w:val="24"/>
          <w:szCs w:val="24"/>
          <w:lang w:val="en-US"/>
        </w:rPr>
        <w:t xml:space="preserve"> would have helix-breaking effects, leading to </w:t>
      </w:r>
      <w:r w:rsidR="00F92979">
        <w:rPr>
          <w:sz w:val="24"/>
          <w:szCs w:val="24"/>
          <w:lang w:val="en-US"/>
        </w:rPr>
        <w:t>modified</w:t>
      </w:r>
      <w:r w:rsidR="004676F6" w:rsidRPr="004676F6">
        <w:rPr>
          <w:sz w:val="24"/>
          <w:szCs w:val="24"/>
          <w:lang w:val="en-US"/>
        </w:rPr>
        <w:t xml:space="preserve"> spatial arrangement and </w:t>
      </w:r>
      <w:r w:rsidR="00F92979">
        <w:rPr>
          <w:sz w:val="24"/>
          <w:szCs w:val="24"/>
          <w:lang w:val="en-US"/>
        </w:rPr>
        <w:t xml:space="preserve">altered </w:t>
      </w:r>
      <w:r w:rsidR="004676F6" w:rsidRPr="004676F6">
        <w:rPr>
          <w:sz w:val="24"/>
          <w:szCs w:val="24"/>
          <w:lang w:val="en-US"/>
        </w:rPr>
        <w:t>flexibility around the catalytic domain</w:t>
      </w:r>
      <w:r w:rsidR="004676F6">
        <w:rPr>
          <w:sz w:val="24"/>
          <w:szCs w:val="24"/>
          <w:lang w:val="en-US"/>
        </w:rPr>
        <w:t>.</w:t>
      </w:r>
    </w:p>
    <w:p w:rsidR="004676F6" w:rsidRDefault="004676F6" w:rsidP="00DD6D8B">
      <w:pPr>
        <w:spacing w:after="0" w:line="240" w:lineRule="auto"/>
        <w:rPr>
          <w:sz w:val="24"/>
          <w:szCs w:val="24"/>
          <w:lang w:val="en-US"/>
        </w:rPr>
      </w:pPr>
    </w:p>
    <w:p w:rsidR="00DD6D8B" w:rsidRDefault="00DD6D8B" w:rsidP="00DD6D8B">
      <w:pPr>
        <w:spacing w:after="0" w:line="240" w:lineRule="auto"/>
        <w:rPr>
          <w:b/>
          <w:sz w:val="24"/>
          <w:szCs w:val="24"/>
          <w:lang w:val="en-US"/>
        </w:rPr>
      </w:pPr>
    </w:p>
    <w:p w:rsidR="00DD6D8B" w:rsidRDefault="00DD6D8B" w:rsidP="00DD6D8B">
      <w:pPr>
        <w:spacing w:after="0" w:line="240" w:lineRule="auto"/>
        <w:rPr>
          <w:rFonts w:cstheme="minorHAnsi"/>
          <w:b/>
          <w:sz w:val="24"/>
          <w:szCs w:val="24"/>
          <w:lang w:val="en-US"/>
        </w:rPr>
      </w:pPr>
      <w:r w:rsidRPr="007805D1">
        <w:rPr>
          <w:rFonts w:cstheme="minorHAnsi"/>
          <w:b/>
          <w:sz w:val="24"/>
          <w:szCs w:val="24"/>
          <w:lang w:val="en-US"/>
        </w:rPr>
        <w:t>REFERENCES</w:t>
      </w:r>
    </w:p>
    <w:p w:rsidR="007805D1" w:rsidRPr="007805D1" w:rsidRDefault="007805D1" w:rsidP="00DD6D8B">
      <w:pPr>
        <w:spacing w:after="0" w:line="240" w:lineRule="auto"/>
        <w:rPr>
          <w:rFonts w:cstheme="minorHAnsi"/>
          <w:b/>
          <w:sz w:val="24"/>
          <w:szCs w:val="24"/>
          <w:lang w:val="en-US"/>
        </w:rPr>
      </w:pPr>
    </w:p>
    <w:p w:rsidR="00DE0E99" w:rsidRPr="007805D1" w:rsidRDefault="003038EB" w:rsidP="00DD6D8B">
      <w:pPr>
        <w:pStyle w:val="Prrafodelista"/>
        <w:numPr>
          <w:ilvl w:val="0"/>
          <w:numId w:val="2"/>
        </w:numPr>
        <w:spacing w:after="0" w:line="240" w:lineRule="auto"/>
        <w:ind w:left="426" w:hanging="426"/>
        <w:rPr>
          <w:rFonts w:cstheme="minorHAnsi"/>
          <w:sz w:val="24"/>
          <w:szCs w:val="24"/>
          <w:lang w:val="en-US"/>
        </w:rPr>
      </w:pPr>
      <w:proofErr w:type="spellStart"/>
      <w:r w:rsidRPr="007805D1">
        <w:rPr>
          <w:rFonts w:cstheme="minorHAnsi"/>
          <w:sz w:val="24"/>
          <w:szCs w:val="24"/>
          <w:lang w:val="en-US"/>
        </w:rPr>
        <w:t>Simossis</w:t>
      </w:r>
      <w:proofErr w:type="spellEnd"/>
      <w:r w:rsidRPr="007805D1">
        <w:rPr>
          <w:rFonts w:cstheme="minorHAnsi"/>
          <w:sz w:val="24"/>
          <w:szCs w:val="24"/>
          <w:lang w:val="en-US"/>
        </w:rPr>
        <w:t xml:space="preserve"> V.A. and </w:t>
      </w:r>
      <w:proofErr w:type="spellStart"/>
      <w:r w:rsidRPr="007805D1">
        <w:rPr>
          <w:rFonts w:cstheme="minorHAnsi"/>
          <w:sz w:val="24"/>
          <w:szCs w:val="24"/>
          <w:lang w:val="en-US"/>
        </w:rPr>
        <w:t>Heringa</w:t>
      </w:r>
      <w:proofErr w:type="spellEnd"/>
      <w:r w:rsidRPr="007805D1">
        <w:rPr>
          <w:rFonts w:cstheme="minorHAnsi"/>
          <w:sz w:val="24"/>
          <w:szCs w:val="24"/>
          <w:lang w:val="en-US"/>
        </w:rPr>
        <w:t xml:space="preserve"> J. (2005) </w:t>
      </w:r>
      <w:bookmarkStart w:id="1" w:name="_GoBack"/>
      <w:bookmarkEnd w:id="1"/>
      <w:r w:rsidRPr="007805D1">
        <w:rPr>
          <w:rFonts w:cstheme="minorHAnsi"/>
          <w:sz w:val="24"/>
          <w:szCs w:val="24"/>
          <w:lang w:val="en-US"/>
        </w:rPr>
        <w:t>Nucleic Acids Res. 33, W289-W294.</w:t>
      </w:r>
    </w:p>
    <w:p w:rsidR="00736546" w:rsidRDefault="00736546" w:rsidP="00DD6D8B">
      <w:pPr>
        <w:pStyle w:val="Prrafodelista"/>
        <w:numPr>
          <w:ilvl w:val="0"/>
          <w:numId w:val="2"/>
        </w:numPr>
        <w:shd w:val="clear" w:color="auto" w:fill="FFFFFF"/>
        <w:spacing w:after="0" w:line="240" w:lineRule="auto"/>
        <w:ind w:left="426" w:hanging="426"/>
        <w:rPr>
          <w:rFonts w:eastAsia="Times New Roman" w:cstheme="minorHAnsi"/>
          <w:color w:val="000000"/>
          <w:sz w:val="24"/>
          <w:szCs w:val="24"/>
          <w:lang w:val="en-US" w:eastAsia="es-AR"/>
        </w:rPr>
      </w:pPr>
      <w:r w:rsidRPr="007805D1">
        <w:rPr>
          <w:rFonts w:eastAsia="Times New Roman" w:cstheme="minorHAnsi"/>
          <w:color w:val="000000"/>
          <w:sz w:val="24"/>
          <w:szCs w:val="24"/>
          <w:lang w:val="en-US" w:eastAsia="es-AR"/>
        </w:rPr>
        <w:t xml:space="preserve">Buchan DWA, </w:t>
      </w:r>
      <w:proofErr w:type="spellStart"/>
      <w:r w:rsidRPr="007805D1">
        <w:rPr>
          <w:rFonts w:eastAsia="Times New Roman" w:cstheme="minorHAnsi"/>
          <w:color w:val="000000"/>
          <w:sz w:val="24"/>
          <w:szCs w:val="24"/>
          <w:lang w:val="en-US" w:eastAsia="es-AR"/>
        </w:rPr>
        <w:t>Minneci</w:t>
      </w:r>
      <w:proofErr w:type="spellEnd"/>
      <w:r w:rsidRPr="007805D1">
        <w:rPr>
          <w:rFonts w:eastAsia="Times New Roman" w:cstheme="minorHAnsi"/>
          <w:color w:val="000000"/>
          <w:sz w:val="24"/>
          <w:szCs w:val="24"/>
          <w:lang w:val="en-US" w:eastAsia="es-AR"/>
        </w:rPr>
        <w:t xml:space="preserve"> F, Nugent TCO, Bryson K, Jones DT. (2013). Scalable web services for the PSIPRED Protein Analysis Workbench. Nucleic Acids Research</w:t>
      </w:r>
      <w:r w:rsidR="003038EB" w:rsidRPr="007805D1">
        <w:rPr>
          <w:rFonts w:eastAsia="Times New Roman" w:cstheme="minorHAnsi"/>
          <w:color w:val="000000"/>
          <w:sz w:val="24"/>
          <w:szCs w:val="24"/>
          <w:lang w:val="en-US" w:eastAsia="es-AR"/>
        </w:rPr>
        <w:t xml:space="preserve">. </w:t>
      </w:r>
      <w:r w:rsidRPr="007805D1">
        <w:rPr>
          <w:rFonts w:eastAsia="Times New Roman" w:cstheme="minorHAnsi"/>
          <w:color w:val="000000"/>
          <w:sz w:val="24"/>
          <w:szCs w:val="24"/>
          <w:lang w:val="en-US" w:eastAsia="es-AR"/>
        </w:rPr>
        <w:t>41 (W1): W340-W348.</w:t>
      </w:r>
    </w:p>
    <w:p w:rsidR="007F1CF6" w:rsidRPr="007805D1" w:rsidRDefault="007F1CF6" w:rsidP="007F1CF6">
      <w:pPr>
        <w:pStyle w:val="Prrafodelista"/>
        <w:shd w:val="clear" w:color="auto" w:fill="FFFFFF"/>
        <w:spacing w:after="0" w:line="240" w:lineRule="auto"/>
        <w:ind w:left="426"/>
        <w:rPr>
          <w:rFonts w:eastAsia="Times New Roman" w:cstheme="minorHAnsi"/>
          <w:color w:val="000000"/>
          <w:sz w:val="24"/>
          <w:szCs w:val="24"/>
          <w:lang w:val="en-US" w:eastAsia="es-AR"/>
        </w:rPr>
      </w:pPr>
    </w:p>
    <w:p w:rsidR="00A00E2E" w:rsidRDefault="00A00E2E" w:rsidP="00DD6D8B">
      <w:pPr>
        <w:spacing w:after="0" w:line="240" w:lineRule="auto"/>
        <w:ind w:left="426" w:hanging="426"/>
        <w:rPr>
          <w:lang w:val="en-US"/>
        </w:rPr>
      </w:pPr>
    </w:p>
    <w:p w:rsidR="00F0164F" w:rsidRDefault="00F0164F" w:rsidP="00DD6D8B">
      <w:pPr>
        <w:spacing w:after="0" w:line="240" w:lineRule="auto"/>
        <w:ind w:left="426" w:hanging="426"/>
        <w:rPr>
          <w:lang w:val="en-US"/>
        </w:rPr>
      </w:pPr>
    </w:p>
    <w:sectPr w:rsidR="00F0164F" w:rsidSect="00944AA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8F35F6"/>
    <w:multiLevelType w:val="hybridMultilevel"/>
    <w:tmpl w:val="772AE316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6F3F85"/>
    <w:multiLevelType w:val="multilevel"/>
    <w:tmpl w:val="3EC46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0241"/>
    <w:rsid w:val="000C1998"/>
    <w:rsid w:val="00176E70"/>
    <w:rsid w:val="001D6537"/>
    <w:rsid w:val="001E0444"/>
    <w:rsid w:val="001F4F8E"/>
    <w:rsid w:val="00267642"/>
    <w:rsid w:val="0027467D"/>
    <w:rsid w:val="00284519"/>
    <w:rsid w:val="003038EB"/>
    <w:rsid w:val="00306E02"/>
    <w:rsid w:val="0043344F"/>
    <w:rsid w:val="00442C81"/>
    <w:rsid w:val="004676F6"/>
    <w:rsid w:val="004B12D9"/>
    <w:rsid w:val="00576AB8"/>
    <w:rsid w:val="005874DE"/>
    <w:rsid w:val="005D3DF8"/>
    <w:rsid w:val="00736546"/>
    <w:rsid w:val="007805D1"/>
    <w:rsid w:val="007F1CF6"/>
    <w:rsid w:val="00803034"/>
    <w:rsid w:val="008740B5"/>
    <w:rsid w:val="00900C13"/>
    <w:rsid w:val="00944AAB"/>
    <w:rsid w:val="009516E2"/>
    <w:rsid w:val="00A00E2E"/>
    <w:rsid w:val="00B14DFD"/>
    <w:rsid w:val="00C82AA5"/>
    <w:rsid w:val="00CD11CA"/>
    <w:rsid w:val="00D10241"/>
    <w:rsid w:val="00D243FF"/>
    <w:rsid w:val="00DD6D8B"/>
    <w:rsid w:val="00DE0E99"/>
    <w:rsid w:val="00E14466"/>
    <w:rsid w:val="00E1461F"/>
    <w:rsid w:val="00E838BA"/>
    <w:rsid w:val="00EE615B"/>
    <w:rsid w:val="00EF17CD"/>
    <w:rsid w:val="00F0164F"/>
    <w:rsid w:val="00F31D5D"/>
    <w:rsid w:val="00F336B5"/>
    <w:rsid w:val="00F35DF0"/>
    <w:rsid w:val="00F65FC6"/>
    <w:rsid w:val="00F92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AA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038EB"/>
    <w:pPr>
      <w:ind w:left="720"/>
      <w:contextualSpacing/>
    </w:pPr>
  </w:style>
  <w:style w:type="character" w:styleId="Hipervnculo">
    <w:name w:val="Hyperlink"/>
    <w:basedOn w:val="Fuentedeprrafopredeter"/>
    <w:uiPriority w:val="99"/>
    <w:semiHidden/>
    <w:unhideWhenUsed/>
    <w:rsid w:val="00267642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33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334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Gutierrez</dc:creator>
  <cp:lastModifiedBy>Analia</cp:lastModifiedBy>
  <cp:revision>2</cp:revision>
  <dcterms:created xsi:type="dcterms:W3CDTF">2019-03-29T19:43:00Z</dcterms:created>
  <dcterms:modified xsi:type="dcterms:W3CDTF">2019-03-29T19:43:00Z</dcterms:modified>
</cp:coreProperties>
</file>